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B73089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B73089">
        <w:rPr>
          <w:rFonts w:ascii="Arial" w:hAnsi="Arial" w:cs="Arial"/>
          <w:b/>
          <w:sz w:val="22"/>
          <w:lang w:val="pt-BR"/>
        </w:rPr>
        <w:t>9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73089">
        <w:rPr>
          <w:rFonts w:ascii="Arial" w:hAnsi="Arial" w:cs="Arial"/>
          <w:b/>
          <w:sz w:val="22"/>
          <w:szCs w:val="22"/>
          <w:lang w:eastAsia="en-US"/>
        </w:rPr>
        <w:t>PC FORT INFORMATICA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8F41F4">
        <w:rPr>
          <w:rFonts w:ascii="Arial" w:hAnsi="Arial" w:cs="Arial"/>
          <w:sz w:val="22"/>
          <w:szCs w:val="22"/>
          <w:lang w:eastAsia="en-US"/>
        </w:rPr>
        <w:t>34.502.653/0001-90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B73089">
        <w:rPr>
          <w:rFonts w:ascii="Arial" w:hAnsi="Arial" w:cs="Arial"/>
          <w:sz w:val="22"/>
          <w:szCs w:val="22"/>
          <w:lang w:eastAsia="en-US"/>
        </w:rPr>
        <w:t>Itá</w:t>
      </w:r>
      <w:proofErr w:type="spellEnd"/>
      <w:r w:rsidR="008656FB">
        <w:rPr>
          <w:rFonts w:ascii="Arial" w:hAnsi="Arial" w:cs="Arial"/>
          <w:sz w:val="22"/>
          <w:szCs w:val="22"/>
          <w:lang w:eastAsia="en-US"/>
        </w:rPr>
        <w:t>/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E4631" w:rsidRDefault="008C463E" w:rsidP="007D7138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Pr="009D61A0">
        <w:rPr>
          <w:rFonts w:ascii="Arial" w:hAnsi="Arial" w:cs="Arial"/>
          <w:sz w:val="22"/>
          <w:szCs w:val="22"/>
        </w:rPr>
        <w:t xml:space="preserve"> é de </w:t>
      </w:r>
      <w:r w:rsidRPr="009D61A0">
        <w:rPr>
          <w:rFonts w:ascii="Arial" w:hAnsi="Arial" w:cs="Arial"/>
          <w:b/>
          <w:sz w:val="22"/>
          <w:szCs w:val="22"/>
        </w:rPr>
        <w:t>R$</w:t>
      </w:r>
      <w:r w:rsidR="00B73089">
        <w:rPr>
          <w:rFonts w:ascii="Arial" w:hAnsi="Arial" w:cs="Arial"/>
          <w:b/>
          <w:sz w:val="22"/>
          <w:szCs w:val="22"/>
        </w:rPr>
        <w:t>31.400,00 (Trinta e um mil e quatrocentos reais).</w:t>
      </w:r>
    </w:p>
    <w:p w:rsidR="007D7138" w:rsidRDefault="007D7138" w:rsidP="007D7138">
      <w:pPr>
        <w:tabs>
          <w:tab w:val="left" w:pos="9214"/>
        </w:tabs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5C77AC" w:rsidRDefault="005C77AC" w:rsidP="005C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5C77AC" w:rsidRDefault="005C77AC" w:rsidP="005C77AC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preço contratado, em conformidade com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as condições estabelecidas no presente contrato.</w:t>
      </w:r>
    </w:p>
    <w:p w:rsidR="005C77AC" w:rsidRDefault="005C77AC" w:rsidP="005C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5C77AC" w:rsidRDefault="005C77AC" w:rsidP="005C77AC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</w:t>
      </w:r>
      <w:r w:rsidR="00A750CF">
        <w:rPr>
          <w:rFonts w:ascii="Arial" w:hAnsi="Arial" w:cs="Arial"/>
          <w:sz w:val="22"/>
          <w:szCs w:val="22"/>
          <w:lang w:eastAsia="ar-SA"/>
        </w:rPr>
        <w:t>de Educação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8F41F4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PC FORT INFORMATICA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41F4">
              <w:rPr>
                <w:rFonts w:ascii="Arial" w:hAnsi="Arial" w:cs="Arial"/>
                <w:b/>
                <w:sz w:val="22"/>
                <w:szCs w:val="22"/>
              </w:rPr>
              <w:t>34.502.653/0001-90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5C77AC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5C77AC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5C77AC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474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CAEEB4AC"/>
    <w:lvl w:ilvl="0" w:tplc="BBEE3C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D5024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19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C77AC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032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63F5E"/>
    <w:rsid w:val="00777039"/>
    <w:rsid w:val="0079062A"/>
    <w:rsid w:val="00791BDC"/>
    <w:rsid w:val="007B590A"/>
    <w:rsid w:val="007C7E78"/>
    <w:rsid w:val="007D5B4D"/>
    <w:rsid w:val="007D7138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56FB"/>
    <w:rsid w:val="0086691D"/>
    <w:rsid w:val="00871D5B"/>
    <w:rsid w:val="008A37CE"/>
    <w:rsid w:val="008B6C03"/>
    <w:rsid w:val="008C463E"/>
    <w:rsid w:val="008F21EC"/>
    <w:rsid w:val="008F41F4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026F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750CF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3089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5B24"/>
    <w:rsid w:val="00D07816"/>
    <w:rsid w:val="00D23A48"/>
    <w:rsid w:val="00D40CF0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43E25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0327-BDAF-4449-8715-001BEFD9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28</cp:revision>
  <cp:lastPrinted>2020-05-14T12:57:00Z</cp:lastPrinted>
  <dcterms:created xsi:type="dcterms:W3CDTF">2020-02-26T17:31:00Z</dcterms:created>
  <dcterms:modified xsi:type="dcterms:W3CDTF">2020-05-19T14:05:00Z</dcterms:modified>
</cp:coreProperties>
</file>